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41E99" w:rsidRPr="00CD0221" w:rsidTr="00D0306D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293BCC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B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4579C8" w:rsidRPr="00CD0221" w:rsidRDefault="00941E99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 </w:t>
            </w:r>
          </w:p>
          <w:p w:rsidR="00EA2328" w:rsidRDefault="004D7199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="004579C8" w:rsidRPr="00CD02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дм</w:t>
            </w:r>
            <w:r w:rsidR="00EA232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инистрации МО Горный сельсовет </w:t>
            </w:r>
          </w:p>
          <w:p w:rsidR="004579C8" w:rsidRPr="00CD0221" w:rsidRDefault="00EA2328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Оренбургского района Оренбургской области</w:t>
            </w:r>
          </w:p>
          <w:p w:rsidR="004579C8" w:rsidRPr="00CD0221" w:rsidRDefault="00B70991" w:rsidP="004579C8">
            <w:pPr>
              <w:spacing w:after="0" w:line="240" w:lineRule="auto"/>
              <w:ind w:left="6300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«_</w:t>
            </w:r>
            <w:r w:rsidR="00EF6B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__»__</w:t>
            </w:r>
            <w:r w:rsidR="00EF6B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______2019</w:t>
            </w:r>
            <w:r w:rsidR="00EF6B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 № 45-п</w:t>
            </w:r>
            <w:r w:rsidR="004D719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_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941E99" w:rsidRDefault="003032EE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2018-2022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52A7" w:rsidRDefault="001F52A7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</w:t>
            </w:r>
          </w:p>
          <w:p w:rsidR="00941E99" w:rsidRPr="00CD0221" w:rsidRDefault="003032EE" w:rsidP="001F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proofErr w:type="gramStart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</w:t>
            </w:r>
            <w:proofErr w:type="gramEnd"/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Горный сельсовет Оренбургского района Оренбургской области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2018-2022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Горный сельсовет Оренбургского района Оренбургской области 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2018-2022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Горный сельсовет Оренбургского района Оренбургской области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941E99" w:rsidRPr="00EA6D98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Горный сельсовет Оренбургского района 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13135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–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7521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3032EE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2018-2022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Прогнозируемый общий объем финансирования составляет 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15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в том числе:</w:t>
                  </w:r>
                </w:p>
                <w:p w:rsidR="00941E99" w:rsidRPr="00EA6D98" w:rsidRDefault="007636B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5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региональный</w:t>
                  </w:r>
                  <w:r w:rsidR="00175E37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 ___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495</w:t>
                  </w:r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540C38" w:rsidRP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proofErr w:type="spellEnd"/>
                  <w:proofErr w:type="gramEnd"/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Благоустройство дворовых территорий –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100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 w:rsidR="00540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  <w:r w:rsid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рублей, из них:</w:t>
                  </w:r>
                </w:p>
                <w:p w:rsidR="00941E99" w:rsidRPr="00EA6D98" w:rsidRDefault="005F5D96" w:rsidP="00753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региональный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99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</w:t>
                  </w:r>
                  <w:r w:rsidRPr="005F5D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тыс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рублей;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</w:t>
                  </w:r>
                  <w:r w:rsidR="009B47E3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ющих норматив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ным требованиям – 9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территорий.</w:t>
                  </w:r>
                </w:p>
                <w:p w:rsidR="00941E99" w:rsidRPr="00EA6D98" w:rsidRDefault="001B3496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55A2B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  – 1 минимум.</w:t>
                  </w:r>
                </w:p>
              </w:tc>
            </w:tr>
          </w:tbl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C44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- комплекс мероприятий по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инженернойподготовке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обеспечению безопасности, о</w:t>
            </w:r>
            <w:r w:rsidR="009B47E3"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естественных покрытий, освещению, проводимых с целью повышения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качестважизни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привлекательности территории.</w:t>
            </w:r>
          </w:p>
          <w:p w:rsidR="00941E99" w:rsidRPr="00C44CBC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Термин "городская среда" применяется как к </w:t>
            </w:r>
            <w:proofErr w:type="gram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городским</w:t>
            </w:r>
            <w:proofErr w:type="gram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так и к </w:t>
            </w:r>
            <w:proofErr w:type="spellStart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сельскимпоселениям</w:t>
            </w:r>
            <w:proofErr w:type="spellEnd"/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41E99" w:rsidRPr="00C44CBC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2A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поселения располагаются 17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Значительный износ объектов благоустройства придомовых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одержание жилищного фонда  с 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      </w:r>
            <w:proofErr w:type="gramEnd"/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845609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Горный сельсовет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освещения</w:t>
            </w:r>
            <w:r w:rsidR="002B2F8E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313896" w:rsidRPr="00EA6D98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EA6D98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EA6D98" w:rsidRDefault="00941E99" w:rsidP="005767FB">
            <w:pPr>
              <w:spacing w:after="0" w:line="240" w:lineRule="auto"/>
              <w:ind w:lef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5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2180"/>
            </w:tblGrid>
            <w:tr w:rsidR="00941E99" w:rsidRPr="00EA6D98" w:rsidTr="006C27B4">
              <w:trPr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Значения показателей</w:t>
                  </w:r>
                </w:p>
              </w:tc>
            </w:tr>
            <w:tr w:rsidR="006C27B4" w:rsidRPr="00EA6D98" w:rsidTr="00D0306D">
              <w:trPr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  <w:r w:rsidR="00D93B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D93B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5F5D96" w:rsidRDefault="00D93B4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5F5D96" w:rsidRDefault="00D93B4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 м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C27B4" w:rsidRPr="00EA6D98" w:rsidTr="00D0306D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Проценты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27B4" w:rsidRPr="00EA6D98" w:rsidRDefault="006C27B4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6C27B4" w:rsidRPr="00EA6D98" w:rsidRDefault="006C27B4" w:rsidP="006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41E99" w:rsidRPr="00EA6D98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1F52A7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1FED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Повышение уровня благоустройства дворовых территорий муниципального образования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3F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не им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еет строгой разбивки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предложений граждан о включении дворовых территорий в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 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сельсовет Оренбургского района 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расположенных на территории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1F52A7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C65D48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1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 групп населения.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833911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00 </w:t>
            </w:r>
            <w:proofErr w:type="spellStart"/>
            <w:proofErr w:type="gramStart"/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тыс</w:t>
            </w:r>
            <w:proofErr w:type="spellEnd"/>
            <w:proofErr w:type="gramEnd"/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за счет средств фед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бюджета - 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1485</w:t>
            </w:r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9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территорий, прилегающих к многоквартирным жилым домам обеспечит</w:t>
            </w:r>
            <w:proofErr w:type="gramEnd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941E99" w:rsidRPr="00833911" w:rsidRDefault="00941E99" w:rsidP="00557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5573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Региональный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3F1FED">
              <w:trPr>
                <w:trHeight w:val="1374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6E2147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Горный</w:t>
                  </w:r>
                </w:p>
                <w:p w:rsidR="00941E99" w:rsidRPr="00833911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ул.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 1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ентральная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Центральная, д. 7</w:t>
                  </w:r>
                </w:p>
                <w:p w:rsidR="006E2147" w:rsidRPr="006E2147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Юный</w:t>
                  </w:r>
                </w:p>
                <w:p w:rsidR="006E2147" w:rsidRDefault="00170EA3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Чернова, 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19,20,21,22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Чернова, д. 101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,18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23,24,26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25,27</w:t>
                  </w:r>
                </w:p>
                <w:p w:rsidR="00170EA3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рифабричная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-д.55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53C2B"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</w:t>
                  </w:r>
                  <w:r w:rsidR="00564A0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спубликанский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парка п. Горный, парка п. Юный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564A0B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3F1FED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дворовых территорий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0D2181" w:rsidRPr="001F52A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6FA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1125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lastRenderedPageBreak/>
              <w:t>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3F1FED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      </w:t>
            </w:r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возможных проектов благоустройства общественных территорий могут быть предложены для обсуждения и благоустройства следующие виды проектов и территорий: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набережной;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городских площадей (как правило центральных);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или организация муниципальных рынков;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3F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1F52A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1F" w:rsidRDefault="00B4551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E4087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CD02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D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</w:p>
          <w:p w:rsidR="00941E99" w:rsidRP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 w:rsid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E257B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дворовых территорий </w:t>
                  </w:r>
                </w:p>
                <w:p w:rsidR="003259D3" w:rsidRPr="00BE257B" w:rsidRDefault="003259D3" w:rsidP="004509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Благоустройство 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дворовой территории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.Центральная, д.6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3259D3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-д.55</w:t>
                  </w:r>
                </w:p>
              </w:tc>
              <w:tc>
                <w:tcPr>
                  <w:tcW w:w="2127" w:type="dxa"/>
                </w:tcPr>
                <w:p w:rsidR="00450917" w:rsidRPr="00BE257B" w:rsidRDefault="003259D3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450917" w:rsidRPr="00BE257B" w:rsidRDefault="00450917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27108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2. Повышение уровня благоустройства территорий общего пользования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парка п. Горный, парка п. Юный</w:t>
                  </w:r>
                </w:p>
              </w:tc>
              <w:tc>
                <w:tcPr>
                  <w:tcW w:w="2127" w:type="dxa"/>
                </w:tcPr>
                <w:p w:rsidR="0027108B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A6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</w:t>
                  </w:r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 w:rsidR="004A3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753C2B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1F52A7">
              <w:trPr>
                <w:trHeight w:val="1059"/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  <w:p w:rsidR="001F52A7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  <w:p w:rsidR="001F52A7" w:rsidRPr="00BE257B" w:rsidRDefault="001F52A7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A34FE" w:rsidRPr="00BE257B" w:rsidRDefault="004A34FE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4A34FE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3447"/>
              <w:gridCol w:w="3544"/>
              <w:gridCol w:w="2126"/>
            </w:tblGrid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Горный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1F52A7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4A34FE" w:rsidRPr="00BE257B" w:rsidTr="004A34FE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Юный</w:t>
                  </w:r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4FE" w:rsidRPr="00BE257B" w:rsidRDefault="004A34FE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1F52A7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ED" w:rsidRPr="00CD0221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7A8" w:rsidRPr="00CD0221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4B" w:rsidRDefault="00B0654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4B" w:rsidRDefault="00B0654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6D" w:rsidRPr="00CD0221" w:rsidTr="00EA2328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654B" w:rsidRDefault="00B0654B" w:rsidP="00B0654B">
      <w:pPr>
        <w:jc w:val="both"/>
      </w:pPr>
    </w:p>
    <w:p w:rsidR="00B0654B" w:rsidRDefault="00B0654B" w:rsidP="00B0654B">
      <w:pPr>
        <w:jc w:val="both"/>
      </w:pPr>
    </w:p>
    <w:p w:rsidR="003D61B1" w:rsidRPr="00A13F88" w:rsidRDefault="003D61B1" w:rsidP="00B0654B">
      <w:pPr>
        <w:jc w:val="both"/>
      </w:pPr>
    </w:p>
    <w:p w:rsidR="00B0654B" w:rsidRPr="00CD0221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3D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4</w:t>
      </w:r>
    </w:p>
    <w:p w:rsid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 </w:t>
      </w:r>
      <w:r w:rsidRPr="00CD0221">
        <w:rPr>
          <w:rFonts w:ascii="Times New Roman" w:hAnsi="Times New Roman" w:cs="Times New Roman"/>
          <w:sz w:val="24"/>
          <w:szCs w:val="24"/>
        </w:rPr>
        <w:t>программе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54B" w:rsidRDefault="00B0654B" w:rsidP="00B06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комфортной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среды </w:t>
      </w:r>
    </w:p>
    <w:p w:rsidR="00B0654B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МО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</w:t>
      </w:r>
    </w:p>
    <w:p w:rsidR="00B0654B" w:rsidRPr="00450917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2018-2022 годы»</w:t>
      </w:r>
    </w:p>
    <w:p w:rsidR="00B0654B" w:rsidRDefault="00B0654B" w:rsidP="00B0654B">
      <w:pPr>
        <w:pStyle w:val="ConsPlusNormal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54B" w:rsidRPr="00B0654B" w:rsidRDefault="00B0654B" w:rsidP="00B065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ВИЗУАЛИЗИРОВАННЫЙ ПЕРЕЧЕНЬ</w:t>
      </w: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B0654B" w:rsidRDefault="00B0654B" w:rsidP="00B0654B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B0654B" w:rsidRPr="00815F43" w:rsidRDefault="00B0654B" w:rsidP="00B0654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B0654B" w:rsidRPr="00815F43" w:rsidRDefault="00B0654B" w:rsidP="00B0654B">
            <w:pPr>
              <w:jc w:val="center"/>
            </w:pPr>
            <w:r>
              <w:t>Образец</w:t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Скамейка для бетонирования</w:t>
            </w:r>
          </w:p>
          <w:p w:rsidR="00B0654B" w:rsidRDefault="00B0654B" w:rsidP="00B0654B">
            <w:pPr>
              <w:jc w:val="center"/>
            </w:pP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44D9DCE4" wp14:editId="74FC0053">
                  <wp:extent cx="1762125" cy="1238250"/>
                  <wp:effectExtent l="0" t="0" r="9525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2A566C5" wp14:editId="1E64355D">
                  <wp:extent cx="1524000" cy="1228725"/>
                  <wp:effectExtent l="0" t="0" r="0" b="9525"/>
                  <wp:docPr id="3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55FE132" wp14:editId="4A4EEC51">
                  <wp:extent cx="1828800" cy="1371600"/>
                  <wp:effectExtent l="0" t="0" r="0" b="0"/>
                  <wp:docPr id="4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CCBF42" wp14:editId="59D22D07">
                      <wp:extent cx="304800" cy="304800"/>
                      <wp:effectExtent l="0" t="3810" r="4445" b="0"/>
                      <wp:docPr id="1" name="AutoShape 5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3RpKzPAgAA4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F164E84" wp14:editId="45CF0A26">
                  <wp:extent cx="1695450" cy="1266825"/>
                  <wp:effectExtent l="0" t="0" r="0" b="9525"/>
                  <wp:docPr id="6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Урна переносная</w:t>
            </w: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32C538BC" wp14:editId="531E5179">
                  <wp:extent cx="1085850" cy="1409700"/>
                  <wp:effectExtent l="0" t="0" r="0" b="0"/>
                  <wp:docPr id="7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286C3E" wp14:editId="22CD65D6">
                  <wp:extent cx="1495425" cy="1495425"/>
                  <wp:effectExtent l="0" t="0" r="9525" b="9525"/>
                  <wp:docPr id="8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CC87804" wp14:editId="71B110E9">
                  <wp:extent cx="1343025" cy="1009650"/>
                  <wp:effectExtent l="0" t="0" r="9525" b="0"/>
                  <wp:docPr id="9" name="Рисунок 9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9B2129" w:rsidRDefault="00B0654B" w:rsidP="00B0654B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B0654B" w:rsidRPr="009B2129" w:rsidRDefault="00B0654B" w:rsidP="00B0654B">
            <w:pPr>
              <w:jc w:val="center"/>
            </w:pPr>
            <w:r w:rsidRPr="009B2129">
              <w:t>Светильник уличный</w:t>
            </w:r>
          </w:p>
          <w:p w:rsidR="00B0654B" w:rsidRPr="009B2129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9B2129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30E2A438" wp14:editId="01C2CFA4">
                  <wp:extent cx="1304925" cy="1209675"/>
                  <wp:effectExtent l="0" t="0" r="9525" b="9525"/>
                  <wp:docPr id="10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9A46B25" wp14:editId="23AF367F">
                  <wp:extent cx="1066800" cy="1485900"/>
                  <wp:effectExtent l="0" t="0" r="0" b="0"/>
                  <wp:docPr id="11" name="Рисунок 11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3CA7EA1" wp14:editId="5A68ADD2">
                  <wp:extent cx="1485900" cy="1400175"/>
                  <wp:effectExtent l="0" t="0" r="0" b="9525"/>
                  <wp:docPr id="12" name="Рисунок 12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8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B0654B" w:rsidTr="00B0654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0654B" w:rsidRPr="009B2129" w:rsidRDefault="00B0654B" w:rsidP="00B0654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0654B" w:rsidRDefault="003D61B1" w:rsidP="00592843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 5</w:t>
            </w:r>
          </w:p>
          <w:p w:rsidR="00592843" w:rsidRDefault="00592843" w:rsidP="0059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</w:p>
          <w:p w:rsidR="00592843" w:rsidRDefault="00592843" w:rsidP="0059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МО Горный сельсовет Оренбургского района Оренбургской области на 2018-2022 годы»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843" w:rsidRPr="00592843" w:rsidRDefault="00592843" w:rsidP="005928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654B" w:rsidRDefault="00B0654B" w:rsidP="00B0654B">
      <w:pPr>
        <w:rPr>
          <w:sz w:val="28"/>
          <w:szCs w:val="28"/>
        </w:rPr>
      </w:pP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B0654B" w:rsidRPr="001F1211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разработки, обсуждения, согласования с заинтересованными лицами и утверждения дизайн-проектов благоустройства дворовых и общественных территорий включенных в муниципальную программу «Формирование комфортной городской среды в муниципальном образовании Горный сельсовет Оренбургского района Оренбургской области  на 2018 – 2022 годы»</w:t>
      </w: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4B" w:rsidRDefault="00B0654B" w:rsidP="00B0654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F1211" w:rsidRPr="00B0654B" w:rsidRDefault="001F1211" w:rsidP="001F12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Настоящий Порядок регламентирует процедуру разработки, обсуждения и согласования с заинтересованными лицами дизайн-проекта благоустройства </w:t>
      </w:r>
      <w:r w:rsidR="00592843" w:rsidRPr="005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многоквартирных домов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на территории МО </w:t>
      </w:r>
      <w:r w:rsidR="005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их утверждение в рамках реализации муниципальной программы «Формирование комфортной городской среды в муниципальном образовании </w:t>
      </w:r>
      <w:r w:rsidR="005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оренбургской области  на 2018 – 2022 годы».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фотофиксацией</w:t>
      </w:r>
      <w:proofErr w:type="spellEnd"/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B0654B" w:rsidRPr="00B0654B" w:rsidRDefault="00B0654B" w:rsidP="001F121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B0654B" w:rsidRPr="00B0654B" w:rsidRDefault="00B0654B" w:rsidP="00B065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Разработка дизайн-проектов</w:t>
      </w:r>
    </w:p>
    <w:p w:rsidR="00B0654B" w:rsidRPr="00B0654B" w:rsidRDefault="00B0654B" w:rsidP="00B0654B">
      <w:pPr>
        <w:tabs>
          <w:tab w:val="left" w:pos="709"/>
          <w:tab w:val="left" w:pos="166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B0654B" w:rsidRPr="00B0654B" w:rsidRDefault="00B0654B" w:rsidP="00B0654B">
      <w:pPr>
        <w:tabs>
          <w:tab w:val="left" w:pos="709"/>
          <w:tab w:val="left" w:pos="166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Разработка дизайн-проекта в отношении дворовых территорий многоквартирных домов, расположенных на территории МО </w:t>
      </w:r>
      <w:r w:rsidR="005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Горный 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осуществляется в соответствии с Правилами благоустройства и санитарного содержания территории МО </w:t>
      </w:r>
      <w:r w:rsidR="0059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B0654B" w:rsidRPr="00B0654B" w:rsidRDefault="00B0654B" w:rsidP="00B065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654B">
        <w:rPr>
          <w:color w:val="000000"/>
          <w:sz w:val="28"/>
          <w:szCs w:val="28"/>
        </w:rPr>
        <w:t>2.5. При подготовке дизайн-проекта благоустройства дворовой территории выполняются следующие действия:</w:t>
      </w:r>
    </w:p>
    <w:p w:rsidR="00B0654B" w:rsidRPr="00B0654B" w:rsidRDefault="00B0654B" w:rsidP="00B065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654B">
        <w:rPr>
          <w:color w:val="000000"/>
          <w:sz w:val="28"/>
          <w:szCs w:val="28"/>
        </w:rPr>
        <w:t>- проведение визуального осмотра дворовой территории;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выбор возможных к применению типов покрытий, освещения, озеленение и т.д.;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размеров и площадей функциональных зон, видов покрытий;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графического материала.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B0654B" w:rsidRPr="00101C75" w:rsidRDefault="00B0654B" w:rsidP="00101C7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Расчет стоимости работ выполняется в виде сметной документации исходя из сводной ведомости объемов работ и еди</w:t>
      </w:r>
      <w:r w:rsid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ничных расценок на текущий год.</w:t>
      </w:r>
    </w:p>
    <w:p w:rsidR="00B0654B" w:rsidRPr="00B0654B" w:rsidRDefault="00B0654B" w:rsidP="00B0654B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Обсуждение, согласование и утверждение дизайн-проекта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Утверждение дизайн-проектов проводится главой муниципального образования в соответствии с рекомендациями Общественного Совета при администрации муниципального образования </w:t>
      </w:r>
      <w:r w:rsid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Оренбургской области, состав, полномочия и порядок деятельности которого утверждается постановлением администрации муниципального образования.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подготовки и обсуждения дизайн-проектов являются: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собственники помещений в многоквартирных домах;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собственники зданий, сооружений, расположенных на дворовой территории многоквартирного дома;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зарегистрированные на территории села и входящие состав инициативной группы, образуемой в количестве не менее 50 человек в целях подготовки предложения о благоустройстве общественной территории;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объединения, органы территориального общественного самоуправления, юридические лица, индивидуальные предприниматели;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органы государственной власти Российской Федерации, органы государственной власти Оренбургской области, органы местного самоуправления муниципального образования.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Все работы по разработке, согласованию и утверждению дизайн-проектов благоустройства дворовых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Утвержденные дизайн-проекты подлежат </w:t>
      </w:r>
      <w:proofErr w:type="spellStart"/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осмечиванию</w:t>
      </w:r>
      <w:proofErr w:type="spellEnd"/>
      <w:r w:rsidRPr="00B0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проверке достоверности определения сметной стоимости в установленном порядке.</w:t>
      </w:r>
    </w:p>
    <w:p w:rsidR="00B0654B" w:rsidRP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4B" w:rsidRDefault="00B0654B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101C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211" w:rsidRDefault="001F1211" w:rsidP="00101C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CD0221" w:rsidRDefault="00101C75" w:rsidP="0010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D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6</w:t>
      </w:r>
    </w:p>
    <w:p w:rsidR="00101C75" w:rsidRDefault="00101C75" w:rsidP="00101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 </w:t>
      </w:r>
      <w:r w:rsidRPr="00CD0221">
        <w:rPr>
          <w:rFonts w:ascii="Times New Roman" w:hAnsi="Times New Roman" w:cs="Times New Roman"/>
          <w:sz w:val="24"/>
          <w:szCs w:val="24"/>
        </w:rPr>
        <w:t>программе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C75" w:rsidRDefault="00101C75" w:rsidP="00101C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комфортной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среды </w:t>
      </w:r>
    </w:p>
    <w:p w:rsidR="00101C75" w:rsidRDefault="00101C75" w:rsidP="0010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МО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</w:t>
      </w:r>
    </w:p>
    <w:p w:rsidR="00101C75" w:rsidRPr="00450917" w:rsidRDefault="00101C75" w:rsidP="0010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2018-2022 годы»</w:t>
      </w:r>
    </w:p>
    <w:p w:rsidR="00101C75" w:rsidRDefault="00101C75" w:rsidP="00101C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1F1211" w:rsidRDefault="00101C75" w:rsidP="00101C7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101C75" w:rsidRPr="00101C75" w:rsidRDefault="00101C75" w:rsidP="00101C7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101C75" w:rsidRDefault="00101C75" w:rsidP="00101C7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 на ремонт дворовых проездов</w:t>
      </w:r>
    </w:p>
    <w:tbl>
      <w:tblPr>
        <w:tblW w:w="9024" w:type="dxa"/>
        <w:tblInd w:w="108" w:type="dxa"/>
        <w:tblLook w:val="00A0" w:firstRow="1" w:lastRow="0" w:firstColumn="1" w:lastColumn="0" w:noHBand="0" w:noVBand="0"/>
      </w:tblPr>
      <w:tblGrid>
        <w:gridCol w:w="594"/>
        <w:gridCol w:w="3980"/>
        <w:gridCol w:w="988"/>
        <w:gridCol w:w="2194"/>
        <w:gridCol w:w="1507"/>
      </w:tblGrid>
      <w:tr w:rsidR="00101C75" w:rsidRPr="00101C75" w:rsidTr="00FC0C8B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101C75" w:rsidRPr="00101C75" w:rsidTr="00FC0C8B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3769,00</w:t>
            </w:r>
          </w:p>
        </w:tc>
      </w:tr>
      <w:tr w:rsidR="00101C75" w:rsidRPr="00101C75" w:rsidTr="00FC0C8B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деформированных а/бетонных покрытий фрезой толщ.5см(с погрузкой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км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  <w:tr w:rsidR="00101C75" w:rsidRPr="00101C75" w:rsidTr="00FC0C8B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Разборка а/бетонного покрытия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км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1615,00</w:t>
            </w:r>
          </w:p>
        </w:tc>
      </w:tr>
      <w:tr w:rsidR="00101C75" w:rsidRPr="00101C75" w:rsidTr="00FC0C8B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первозкой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км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179,00</w:t>
            </w:r>
          </w:p>
        </w:tc>
      </w:tr>
      <w:tr w:rsidR="00101C75" w:rsidRPr="00101C75" w:rsidTr="00FC0C8B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1200,00</w:t>
            </w:r>
          </w:p>
        </w:tc>
      </w:tr>
      <w:tr w:rsidR="00101C75" w:rsidRPr="00101C75" w:rsidTr="00FC0C8B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15 см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щебня фракций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70 мм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укатке каменных материалов с пределом прочности на сжатие 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                    68,6 МПа (700 кгс/см2)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01C75" w:rsidRPr="00101C75" w:rsidTr="00FC0C8B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Розлив вяжущих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18132,00</w:t>
            </w:r>
          </w:p>
        </w:tc>
      </w:tr>
      <w:tr w:rsidR="00101C75" w:rsidRPr="00101C75" w:rsidTr="00FC0C8B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3934,00</w:t>
            </w:r>
          </w:p>
        </w:tc>
      </w:tr>
      <w:tr w:rsidR="00101C75" w:rsidRPr="00101C75" w:rsidTr="00FC0C8B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5 см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горячих асфальтобетонных смесей пористых мелкозернистых, плотность каменных материалов: 2,5-2,9 т/м3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424,00</w:t>
            </w:r>
          </w:p>
        </w:tc>
      </w:tr>
      <w:tr w:rsidR="00101C75" w:rsidRPr="00101C75" w:rsidTr="00FC0C8B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Разборка бортовых камней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км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384,00</w:t>
            </w:r>
          </w:p>
        </w:tc>
      </w:tr>
      <w:tr w:rsidR="00101C75" w:rsidRPr="00101C75" w:rsidTr="00FC0C8B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бортовых камней БР 100.30.15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1C75" w:rsidRPr="00101C75" w:rsidRDefault="00101C75" w:rsidP="00FC0C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1042,00</w:t>
            </w:r>
          </w:p>
        </w:tc>
      </w:tr>
    </w:tbl>
    <w:p w:rsidR="00101C75" w:rsidRPr="00101C75" w:rsidRDefault="00101C75" w:rsidP="00101C7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101C75" w:rsidRDefault="00101C75" w:rsidP="00101C7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провода по фасаду здания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провода)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кронштейна 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кронштейна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светильника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(без стоимости светильника)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1348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выключателя одноклавишного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неутопленного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выключателя)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фотоэлемента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фотоэлемента)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распределительной коробки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коробки)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 гофра для защиты проводов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труб)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Затягивание провода в трубы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опоры СВ-110-5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опор)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2928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 провода СИП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использования автогидроподъемника)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провода с фасада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опоры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Сверление отверстий 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электроперфоратором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кирпичных стенах,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380 мм</w:t>
              </w:r>
            </w:smartTag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отв.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Кабель силовой с медными жилами 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ВВГ 3*2,5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53,21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силовой с медными жилами ВВГ 3*1,5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34,87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Опора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12133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Фотоэлемент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Автоматический выключатель 16А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Гофротруба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протяжкой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9,43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Труба полипропиленовая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32,33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 светодиодный ДУК-47W IP67 5960ЛМ 5000K КСС Д PR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4436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Кронштейн для светильников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2099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СИП 2*16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39,75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СИП 4*16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75,15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СИП 4*25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104,94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Изолента ПВХ синяя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19 мм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64,02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Коробка распределительная (IP-54), 100х100х50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70,17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Крепеж для трубы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мм</w:t>
              </w:r>
            </w:smartTag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дюбелем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17,07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Рейка DIN 30см оцинкованная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26,39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 нулевая с заземлением 6х9 мм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121,90</w:t>
            </w:r>
          </w:p>
        </w:tc>
      </w:tr>
    </w:tbl>
    <w:p w:rsidR="00101C75" w:rsidRPr="00101C75" w:rsidRDefault="00101C75" w:rsidP="00101C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101C75" w:rsidRDefault="00101C75" w:rsidP="00101C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Единичные расценки на установку скамьи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855"/>
        <w:gridCol w:w="2241"/>
      </w:tblGrid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Ед.измерения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 со спинкой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Размеры: 1670*400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13200</w:t>
            </w:r>
          </w:p>
        </w:tc>
      </w:tr>
    </w:tbl>
    <w:p w:rsidR="00101C75" w:rsidRPr="00101C75" w:rsidRDefault="00101C75" w:rsidP="00101C7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101C75" w:rsidRDefault="00101C75" w:rsidP="00101C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установку урны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Урна наземная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25 л</w:t>
              </w:r>
            </w:smartTag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101C75" w:rsidRPr="00101C75" w:rsidTr="00FC0C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Урна наземная</w:t>
            </w:r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101C7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35 л</w:t>
              </w:r>
            </w:smartTag>
          </w:p>
          <w:p w:rsidR="00101C75" w:rsidRPr="00101C75" w:rsidRDefault="00101C75" w:rsidP="00FC0C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5" w:rsidRPr="00101C75" w:rsidRDefault="00101C75" w:rsidP="00FC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</w:tr>
    </w:tbl>
    <w:p w:rsidR="00101C75" w:rsidRPr="00101C75" w:rsidRDefault="00101C75" w:rsidP="00FC0C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4B" w:rsidRDefault="00B0654B" w:rsidP="00B0654B">
      <w:pPr>
        <w:sectPr w:rsidR="00B0654B" w:rsidSect="00101C75">
          <w:pgSz w:w="11906" w:h="16838"/>
          <w:pgMar w:top="993" w:right="707" w:bottom="1134" w:left="1560" w:header="709" w:footer="709" w:gutter="0"/>
          <w:cols w:space="708"/>
          <w:docGrid w:linePitch="360"/>
        </w:sectPr>
      </w:pPr>
    </w:p>
    <w:p w:rsidR="00941E99" w:rsidRPr="00CD0221" w:rsidRDefault="00941E99" w:rsidP="009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941E99" w:rsidRPr="00FA215C" w:rsidTr="00941E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E99" w:rsidRPr="00FA215C" w:rsidRDefault="00941E99" w:rsidP="00F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221" w:rsidRPr="00A610C1" w:rsidRDefault="00CD0221" w:rsidP="00C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221" w:rsidRPr="00A610C1" w:rsidSect="00D7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9"/>
    <w:rsid w:val="000069D5"/>
    <w:rsid w:val="0001694F"/>
    <w:rsid w:val="00025C40"/>
    <w:rsid w:val="00054032"/>
    <w:rsid w:val="00077001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01C75"/>
    <w:rsid w:val="00113019"/>
    <w:rsid w:val="00115475"/>
    <w:rsid w:val="00130DCA"/>
    <w:rsid w:val="001419E9"/>
    <w:rsid w:val="00151C0E"/>
    <w:rsid w:val="0015319A"/>
    <w:rsid w:val="0015792C"/>
    <w:rsid w:val="00164444"/>
    <w:rsid w:val="00170EA3"/>
    <w:rsid w:val="00175E37"/>
    <w:rsid w:val="00190C4C"/>
    <w:rsid w:val="00196D94"/>
    <w:rsid w:val="001B0EE5"/>
    <w:rsid w:val="001B3496"/>
    <w:rsid w:val="001C1BB2"/>
    <w:rsid w:val="001D0738"/>
    <w:rsid w:val="001E0452"/>
    <w:rsid w:val="001E3756"/>
    <w:rsid w:val="001F1211"/>
    <w:rsid w:val="001F52A7"/>
    <w:rsid w:val="002026A0"/>
    <w:rsid w:val="002035D5"/>
    <w:rsid w:val="00205F8A"/>
    <w:rsid w:val="00222F5E"/>
    <w:rsid w:val="00242966"/>
    <w:rsid w:val="00252FE3"/>
    <w:rsid w:val="0027108B"/>
    <w:rsid w:val="002927A8"/>
    <w:rsid w:val="00293BCC"/>
    <w:rsid w:val="002A46E0"/>
    <w:rsid w:val="002B2F8E"/>
    <w:rsid w:val="002B6E77"/>
    <w:rsid w:val="002C547F"/>
    <w:rsid w:val="002D7422"/>
    <w:rsid w:val="002E1D82"/>
    <w:rsid w:val="003032EE"/>
    <w:rsid w:val="00304378"/>
    <w:rsid w:val="0030696A"/>
    <w:rsid w:val="00310926"/>
    <w:rsid w:val="00313896"/>
    <w:rsid w:val="003259D3"/>
    <w:rsid w:val="00372619"/>
    <w:rsid w:val="00384E4F"/>
    <w:rsid w:val="00397D99"/>
    <w:rsid w:val="003A6C1E"/>
    <w:rsid w:val="003C1CE7"/>
    <w:rsid w:val="003C6E1C"/>
    <w:rsid w:val="003D61B1"/>
    <w:rsid w:val="003F1FED"/>
    <w:rsid w:val="0040670C"/>
    <w:rsid w:val="00411253"/>
    <w:rsid w:val="00445835"/>
    <w:rsid w:val="00450917"/>
    <w:rsid w:val="004579C8"/>
    <w:rsid w:val="00470DEE"/>
    <w:rsid w:val="004716E3"/>
    <w:rsid w:val="00476B34"/>
    <w:rsid w:val="00482ADE"/>
    <w:rsid w:val="004A34FE"/>
    <w:rsid w:val="004D135D"/>
    <w:rsid w:val="004D7199"/>
    <w:rsid w:val="004E4265"/>
    <w:rsid w:val="00511903"/>
    <w:rsid w:val="00516057"/>
    <w:rsid w:val="0053635D"/>
    <w:rsid w:val="00540C38"/>
    <w:rsid w:val="0054373A"/>
    <w:rsid w:val="005573E0"/>
    <w:rsid w:val="00564A0B"/>
    <w:rsid w:val="0057089C"/>
    <w:rsid w:val="005767FB"/>
    <w:rsid w:val="00592843"/>
    <w:rsid w:val="00594800"/>
    <w:rsid w:val="005A40A1"/>
    <w:rsid w:val="005D0E06"/>
    <w:rsid w:val="005D6FA9"/>
    <w:rsid w:val="005E4087"/>
    <w:rsid w:val="005F5D96"/>
    <w:rsid w:val="006309F5"/>
    <w:rsid w:val="00633712"/>
    <w:rsid w:val="00641FED"/>
    <w:rsid w:val="00655A2B"/>
    <w:rsid w:val="006736AB"/>
    <w:rsid w:val="0067570A"/>
    <w:rsid w:val="0069488C"/>
    <w:rsid w:val="006A149D"/>
    <w:rsid w:val="006C27B4"/>
    <w:rsid w:val="006D500B"/>
    <w:rsid w:val="006E2147"/>
    <w:rsid w:val="006E25B0"/>
    <w:rsid w:val="00706EAE"/>
    <w:rsid w:val="00730EEB"/>
    <w:rsid w:val="00753C2B"/>
    <w:rsid w:val="007636BA"/>
    <w:rsid w:val="0077254C"/>
    <w:rsid w:val="00776421"/>
    <w:rsid w:val="0078299D"/>
    <w:rsid w:val="007C18AC"/>
    <w:rsid w:val="007F0BA9"/>
    <w:rsid w:val="007F5D28"/>
    <w:rsid w:val="0081185D"/>
    <w:rsid w:val="00833911"/>
    <w:rsid w:val="008425A0"/>
    <w:rsid w:val="00845609"/>
    <w:rsid w:val="0088065F"/>
    <w:rsid w:val="008C3809"/>
    <w:rsid w:val="008D79D6"/>
    <w:rsid w:val="008E5E63"/>
    <w:rsid w:val="0090060B"/>
    <w:rsid w:val="009034F5"/>
    <w:rsid w:val="00941E99"/>
    <w:rsid w:val="00961857"/>
    <w:rsid w:val="00983D8F"/>
    <w:rsid w:val="009A158F"/>
    <w:rsid w:val="009A321B"/>
    <w:rsid w:val="009B3D74"/>
    <w:rsid w:val="009B47E3"/>
    <w:rsid w:val="009E1090"/>
    <w:rsid w:val="009F09AB"/>
    <w:rsid w:val="00A507D0"/>
    <w:rsid w:val="00A610C1"/>
    <w:rsid w:val="00A7348E"/>
    <w:rsid w:val="00A87637"/>
    <w:rsid w:val="00A93BE8"/>
    <w:rsid w:val="00AA2EF9"/>
    <w:rsid w:val="00AA4A7A"/>
    <w:rsid w:val="00AD3B85"/>
    <w:rsid w:val="00AE459E"/>
    <w:rsid w:val="00B04320"/>
    <w:rsid w:val="00B0654B"/>
    <w:rsid w:val="00B248EB"/>
    <w:rsid w:val="00B4220F"/>
    <w:rsid w:val="00B4551F"/>
    <w:rsid w:val="00B70991"/>
    <w:rsid w:val="00BE257B"/>
    <w:rsid w:val="00C019E2"/>
    <w:rsid w:val="00C032DC"/>
    <w:rsid w:val="00C44CBC"/>
    <w:rsid w:val="00C65D48"/>
    <w:rsid w:val="00C76165"/>
    <w:rsid w:val="00CB6B40"/>
    <w:rsid w:val="00CD0221"/>
    <w:rsid w:val="00CE6E9B"/>
    <w:rsid w:val="00CF0979"/>
    <w:rsid w:val="00D0306D"/>
    <w:rsid w:val="00D227E3"/>
    <w:rsid w:val="00D34EC0"/>
    <w:rsid w:val="00D672E8"/>
    <w:rsid w:val="00D74926"/>
    <w:rsid w:val="00D93B49"/>
    <w:rsid w:val="00D9779D"/>
    <w:rsid w:val="00D97C16"/>
    <w:rsid w:val="00DA6DBD"/>
    <w:rsid w:val="00DB4EDD"/>
    <w:rsid w:val="00DE2259"/>
    <w:rsid w:val="00E11030"/>
    <w:rsid w:val="00E11EDE"/>
    <w:rsid w:val="00E15A87"/>
    <w:rsid w:val="00E27962"/>
    <w:rsid w:val="00E47471"/>
    <w:rsid w:val="00E51426"/>
    <w:rsid w:val="00E56488"/>
    <w:rsid w:val="00E62AB4"/>
    <w:rsid w:val="00E63767"/>
    <w:rsid w:val="00E76263"/>
    <w:rsid w:val="00EA2328"/>
    <w:rsid w:val="00EA6D98"/>
    <w:rsid w:val="00EE23B6"/>
    <w:rsid w:val="00EF6B5B"/>
    <w:rsid w:val="00EF6D3D"/>
    <w:rsid w:val="00F20146"/>
    <w:rsid w:val="00F27F53"/>
    <w:rsid w:val="00F30828"/>
    <w:rsid w:val="00F36601"/>
    <w:rsid w:val="00F4583E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C0C8B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5047-7367-4704-9DB3-D93F9335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User01</cp:lastModifiedBy>
  <cp:revision>7</cp:revision>
  <cp:lastPrinted>2019-06-13T10:51:00Z</cp:lastPrinted>
  <dcterms:created xsi:type="dcterms:W3CDTF">2019-06-10T11:56:00Z</dcterms:created>
  <dcterms:modified xsi:type="dcterms:W3CDTF">2019-06-14T10:45:00Z</dcterms:modified>
</cp:coreProperties>
</file>