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Приналичиивхозяйствелодок, бочек (пустых), бревен, камерит.п. соорудитьизних примитивныеплавательныеспасательныесредства. Можноизпластиковыхбуты</w:t>
      </w:r>
      <w:r w:rsidRPr="00B40840">
        <w:softHyphen/>
        <w:t>лок, надувныхподушек, матрацевсоорудитьсредствадляспасения.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Доприбытияпомощиследуетоставатьсянаверхнихэтажах,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Организоватьподачусигналовспасателямспомощьюфлагов, факелов, света</w:t>
      </w:r>
      <w:r>
        <w:t xml:space="preserve">, </w:t>
      </w:r>
      <w:r w:rsidRPr="00B40840">
        <w:t>фона</w:t>
      </w:r>
      <w:r w:rsidRPr="00B40840">
        <w:softHyphen/>
        <w:t>ряилисвечи.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Самостоятельноиззонызатоплениянадовыбиратьсявкрайнемслучае, когданет надеждынаспасателей.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proofErr w:type="spellStart"/>
      <w:r w:rsidRPr="00B40840">
        <w:t>Подготавливатьсяксамоспасениюнадотщательно</w:t>
      </w:r>
      <w:proofErr w:type="spellEnd"/>
      <w:r w:rsidRPr="00B40840">
        <w:t xml:space="preserve">, спокойно, </w:t>
      </w:r>
      <w:proofErr w:type="spellStart"/>
      <w:r w:rsidRPr="00B40840">
        <w:t>учитываянаправлениеискоростьтеченияводы</w:t>
      </w:r>
      <w:proofErr w:type="spellEnd"/>
      <w:r w:rsidRPr="00B40840">
        <w:t>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EA452F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EA452F"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9" o:title="" gain="69719f" blacklevel="1966f"/>
            <w10:wrap type="topAndBottom"/>
          </v:shape>
          <o:OLEObject Type="Embed" ProgID="PBrush" ShapeID="_x0000_s1027" DrawAspect="Content" ObjectID="_1584190344" r:id="rId10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EA452F" w:rsidP="004B5AD5">
      <w:pPr>
        <w:ind w:left="284" w:right="-31"/>
        <w:jc w:val="center"/>
        <w:rPr>
          <w:b/>
          <w:color w:val="000000"/>
        </w:rPr>
      </w:pPr>
      <w:r w:rsidRPr="00EA452F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>
        <w:rPr>
          <w:b/>
          <w:sz w:val="24"/>
        </w:rPr>
        <w:t>1</w:t>
      </w:r>
      <w:r w:rsidR="005309F8">
        <w:rPr>
          <w:b/>
          <w:sz w:val="24"/>
        </w:rPr>
        <w:t>8</w:t>
      </w:r>
      <w:bookmarkStart w:id="0" w:name="_GoBack"/>
      <w:bookmarkEnd w:id="0"/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16CB4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309F8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8F546D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A452F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UserPC</cp:lastModifiedBy>
  <cp:revision>2</cp:revision>
  <dcterms:created xsi:type="dcterms:W3CDTF">2018-04-02T11:06:00Z</dcterms:created>
  <dcterms:modified xsi:type="dcterms:W3CDTF">2018-04-02T11:06:00Z</dcterms:modified>
</cp:coreProperties>
</file>